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убытков размере 46 462 014 рублей 77 копеек, ссылаясь на ненадлежащее исполнение должником обязательств по договору на оказание услуг от 25.01.2016 № 17 с дополнительным соглашением от 18.04.2018, повлёкших утрату им как кредитором возможности реализовать право на получение налогового вычета в порядке, установленном статьями 171, 172 Налогового кодекса Российской Федерации (далее – НК РФ), а также воспользоваться правом уменьшения налогооблагаемой базы доходов для целей уплаты налога на прибыль в порядке, установленном статьёй 252 НК РФ. Определением Арбитражного суда Тюменской области от 16.09.2020, оставленным без изменения постановлениями Восьмого арбитражного апелляционного суда от 17.11.2020 и Арбитражного суда Западно-Сибирского округа от 17.02.2021,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Тюменской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15, 393 Гражданского кодекса Российской Федерации, статьями 71, 100, 142 Федерального закона от 26.10.2002 № 127-ФЗ «О несостоятельности (банкротстве)» и исходили из отсутствия доказательств возможности реализации заявителем права на получение налогового вычета исключительно из-за действия должника, в связи с чем отказали в удовлетворении заявления. Выводы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«Первый хлебокомбинат»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