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13.11.2020, оставленным без изменения постановлением Девятого арбитражного апелляционного суда от 21.01.2021 и постановлением Арбитражного суда Московского округа от 30.03.2021, с компании в пользу общества взыскано 1 185 927 руб. 25 коп. неустойки, в удовлетворении остальной части иска отказано. В кассационных жалобах, поданных в Верховный Суд Российской Федерации, Уваровский В.В. и общество, выражая несогласие с выводами судов в части отказа в удовлетворении иска, просят отменить указанные судебные акты как незаконные.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 от 28.02.2014 № 0171, заключенный между третьим лицом (участник) и ответчиком (застройщик), обстоятельства его исполнения сторонами, а также договор уступки от 01.08.2020 № ДДУ-9, заключенный между третьим лицом (цедент) и истцом (цессионарий), руководствуясь статьями 309, 382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первой и апелляционной инстанций пришли к выводу о наличии оснований для частичного удовлетворения иска, произведя перерасчет неустойки и применив положения статьи 333 Гражданского кодекса Российской Федерации с учетом соответствующего заявления ответчика. Суд округа согласился с выводом судов первой и апелляционной инстанций. Доводы заявителей не подтверждают существенных нарушений норм материального и процессуального права, которые могли повлиять на исход дела, в связи с чем основания для пересмотра обжалуемых судебных актов в кассационном порядке отсутствуют.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Уваровского Владимира Валерьевича и общества с ограниченной ответственностью «ЛигалХ»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