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16.06.2020, оставленным без изменения постановлением Двадцатого арбитражного апелляционного суда от 20.10.2020 и постановлением Арбитражного суда Центрального округа от 09.02.2021,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2 отменить указанные судебные акты и направить дело на новое рассмотрение в Арбитражный суд Смоленской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общества (арендодатель) мотивированы ненадлежащим исполнением предпринимателем (арендатор) обязательств по договору субаренды помещения от 01.12.2018 № 011218.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спорного имущества предпринимателю и его нахождение в пользовании последнего в заявленный период, неисполнения им обязательств по внесению арендной платы и возмещению расходов на коммунальные услуги, руководствуясь статьями 307, 309, 310, 328, 330, 431, 606, 608, 611, 614, 615, 616, 617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Трубникова Романа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