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28.08.2020 в удовлетворении заявления отказано. Постановлением Семнадцатого арбитражного апелляционного суда от 03.12.2020, оставленным без изменения постановлением Арбитражного суда Уральского округа от 12.03.2021, решение суда изменено, резолютивная часть изложена в иной редакции: требования частично удовлетворены, признано 2 недействительным решение управления от 03.03.2020 № 066/06/34-817/2020 в части признания в действиях учреждения нарушения части 4 статьи 64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На управление возложена обязанность устранить допущенные нарушения прав и законных интересов заявителя. В удовлетворении остальной части требований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на официальном сайте 20.02.2020 опубликовано извещение о проведении электронного аукциона № 0162300005320000312 на выполнение работ по капитальному ремонту и документация об аукционе. ООО «КС-Строй» обратилось в антимонопольный орган с жалобой на несоответствие положений аукционной документации требованиям Закона о контрактной системе. По итогам рассмотрения жалобы управлением вынесено решение о признании жалобы обоснованной; в действиях заказчика выявлены нарушения части 4 статьи 34, части 4 статьи 64 Закона о контрактной системе. Не согласившись с решением управления в части признания в действиях заказчика нарушения части 4 статьи 34, части 4 статьи 64 Закона о контрактной системе, учреждение обратилось в арбитражный суд. Отказывая в удовлетворении заявления, суд первой инстанции, руководствуясь положениями Закона о контрактной системе, Гражданского кодекса Российской Федерации, пришел к выводу, что решение управления в 3 оспариваемой части соответствует положениям законодательства и не нарушает права и законные интересы заявителя. Суд апелляционной инстанции поддержал выводы суда первой инстанции о наличии в действиях учреждения нарушения части 4 статьи 34 Закона о контрактной системе. Между тем, суд апелляционной инстанции пришел к выводу об отсутствии доказательств нарушения заказчиком части 4 статьи 64 Закона о контрактной системе, в связи с чем изменил решение суда первой инстанции, признав в данной части решение управления незаконным. Суд округа поддержал выводы суда апелляционной инстанции. Как установлено судами, пунктом 8.9 проекта муниципального контракта предусмотрено, что общая сумма начисленной неустойки (штрафов, пени) за неисполнение или ненадлежащее исполнение подрядчиком обязательств, предусмотренных контрактом, не может превышать цену контракта. Проанализировав указанное условие муниципального контракта, приняв во внимание, что пункт 11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30.08.2017 № 1042 (далее - Правила определения размера штрафа), фактически ограничивает ценой контракта предельные суммы начисляемых в ходе исполнения контракта штрафов, а не пени, которая является отличным от штрафа видом санкций и начисляется за каждый день просрочки исполнения обязательства, суды пришли к выводу, что указанное условие контракта не соответствует требованиям пункта 11 Правил определения размера штрафа и приводит к искусственному занижению суммы неустойки (пени) за просрочку исполнения обязательств. Суды указали, что с учетом условия об ответственности, предусмотренного в пункте 8.9 проекта контракта в случае неисполнения или ненадлежащего исполнения контракта для подрядчика могут наступить более неблагоприятные последствия, чем те, на которые он рассчитывал при участии в аукционе и подписании контракта. Ссылка учреждения на судебную практику отклоняется с учетом установленных обстоятельств по делу. Доводы, изложенные в кассационной жалобе, являлись предметом рассмотрения судов и получили надлежащую правовую оценку. Приведенные заявителем доводы не подтверждают существенных нарушений норм права, повлиявших на исход дела, направлены на переоценку 4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казенному учреждению «Управление заказчика по капитальному ремонту»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