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«Управдом» (далее – Общество) обратилось в Арбитражный суд Хабаровского края с иском, уточненным в порядке статьи 49 Арбитражного процессуального кодекса Российской Федерации (далее – АПК РФ), к муниципальному образованию городской округ «Город Комсомольск-на-Амуре» в лице администрации города Комсомольска-на-Амуре (далее – Администрация) о взыскании 1 733 519 рублей 89 копеек задолженности по оплате услуг содержания и ремонта общего имущества многоквартирных жилых домов за период с 01.04.2017 по 30.04.2020 и 231 620 рублей 68 копеек пени, начисленной в порядке пункта 14 статьи 155 Жилищного кодекса Российской Федерации (далее – Жилищный кодекс) с 10.06.2017 по 05.04.2020 в сумме. Решением Арбитражного суда Хабаровского края от 15.09.2020, оставленным без изменения постановлением Шестого арбитражного апелляционного суда от 24.11.2020 и постановлением Арбитражного суда Дальневосточного округа от 12.02.2021,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спора. 2 В обоснование доводов жалобы заявитель ссылается на не направление истцом в адрес ответчика платежных документов и наличии в связи с этим просрочки кредитора.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предметом спора является требование о взыскании с собственника помещений задолженности по оплате оказанных коммунальных услуг по содержанию общего имущества и пени. Исследовав и оценив по правилам статьи 71 АПК РФ представленные доказательства, руководствуясь статьями 210, 249, 290 Гражданского кодекса Российской Федерации, статьями 36, 37, 39, 154, 155, 158, 161 Жилищного кодекса, разъяснениями, изложенными в пункте 1 постановления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суды удовлетворили заявленные требования, исходя из того, что Администрация, как собственник помещений, обязана нести бремя содержания общего имущества соразмерно своей доле в праве общей собственности. Доводы кассационной жалобы, которые были предметом рассмотрения судебных инстанций и получили надлежащую правовую оценку,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администрации города Комсомольска-на-Амуре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