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временная администрация обратилась в суд с заявлением о признании недействительной и применении последствий недействительности сделки – заключенного между должником и Зленко О.А. дополнительного соглашения от 30.11.2016 к договору поручительства от 15.04.2015 № 064 (ИП)/ДПФ-15. Определением Арбитражного суда города Москвы от 02.09.2020, оставленным без изменения постановлениями Девятого арбитражного апелляционного суда от 18.11.2020 и Арбитражного суда Московского округа от 15.02.2021, заявление удовлетворено. В кассационной жалобе, поданной в Верховный Суд Российской Федерации, заявитель просит отменить названные судебные акты, направить обособленный спор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168, 174, 323, 363 Гражданского кодекса Российской Федерации, статьями 61.1, 189.40 Федерального закона от 26.10.2002 № 127-ФЗ «О несостоятельности (банкротстве)», установив наличие оснований для признания недействительной оспариваемой сделки по прекращению ранее действовавшего поручительства, заключенной со злоупотреблением правом и лишившей банк возможности возвращения заёмных денежных средств путём требования исполнения от поручителя, правомерно удовлетворили заявленные требования.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Приводимые в кассационной жалобе доводы заявителя являлись предметом изучения судов,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Зленко Олегу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