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20.11.2020, оставленным без изменения постановлением Пятнадцатого арбитражного 2 апелляционного суда от 22.01.2021, в удовлетворении первоначального иска отказано, встречный иск удовлетворен. Постановлением Арбитражного суда Северо-Кавказского округа от 12.04.2021 указанные судебные акты оставлены без изменения. Общество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309, 330, 333, 475, 506, 518 Гражданского кодекса Российской Федерации,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суды отказали в первоначальном иске, признав факт поставки не соответствующего условиям контракта товара; удовлетворили встречный иск, установив нарушение обществом обязательств по контракту, в отсутствие доказательств достижения согласованного результата в установленный срок, и признав обоснованным начисление неустойки и штрафа. 3 Доводы жалобы повторяют позицию общества по делу, являлись предметом рассмотрения судов и получили исчерпывающую правовую оценку исходя из установленных обстоятельств и представленных доказательств, не согласиться с которой оснований не имеется. При этом представленному учреждением заключению судами дана правовая оценка как доказательству, которым учреждение мотивировало свои возражения в части качества поставленного товара и обоснованности встречного иска.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