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13.08.2020, оставленным без изменения постановлением Пятого арбитражного апелляционного суда от 10.11.2020, в удовлетворении заявленных требований отказано Постановлением Арбитражного суда Дальневосточного округа от 18.02.2021 указанные судебные акты оставлены без изменения. 2 Общество обратилось в Верховный Суд Российской Федерации с кассационной жалобой, в которой просит принятые судебные акты отменить, считая их незаконными и необоснованными.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31, 82, 83, 87, 89 Налогового кодекса Российской Федерации, Федерального закона от 08.08.2001 № 129-ФЗ «О государственной регистрации юридических лиц и индивидуальных предпринимателей», суды в удовлетворении требований отказали, признав недоказанным факт несоответствия оспариваемого решения законодательству, нарушения им прав и законных интересов налогоплательщика. Доводы жалобы указанные выводы не опровергают, повторяют позицию общества по делу, являлись предметом рассмотрения судов и получили исчерпывающую правовую оценку с учетом конкретных установленных обстоятельств, связанных с проведением регистрационных мероприятий.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