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05.10.2020, оставленным без изменения постановлением Семнадцатого арбитражного апелляционного суда от 28.12.2020, в иске отказано. 2 Постановлением Арбитражного суда Уральского округа от 22.03.2021 указанные судебные акты оставлены без изменения. Общество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310, 431, 523, 525 Гражданского кодекса Российской Федерации, статей 95, 96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иске, признав обоснованными действия заказчика по одностороннему отказу от исполнения контракта при установленных обстоятельствах ненадлежащего исполнения обязательств обществом, правомерности действий по обращению в банк с требованием о выплате суммы гарантии. Доводы жалобы повторяют позицию общества по делу, являлись предметом рассмотрения судов и получили исчерпывающую правовую оценку исходя из установленных обстоятельств, в отсутствие доказательств того, что 3 финансовые претензии не соответствуют сумме обеспечения,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