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03.07.2020 в удовлетворении заявленных требований отказано. Постановлением Двадцатого арбитражного апелляционного суда от 12.10.2020 решение суда первой инстанции отменено, заявленные требования удовлетворены. 2 Постановлением Арбитражного суда Центрального округа от 12.02.2021 постановление апелляционного суда отменено за исключением возврата обществу госпошлины, решение суда первой инстанции оставлено в силе. Общество обратилось в Верховный Суд Российской Федерации с кассационной жалобой, в которой просит постановление суда округа отменить, оставить в силе постановление апелляционного суда. При изучении доводов жалобы и принятых по делу судебных актов оснований для удовлетворения жалобы не установлено. Исходя из установленных судами обстоятельств совершения обществом правонарушения, выразившегося в заявлении недостоверных сведений о товаре, повлекшем занижение размера подлежащих уплате таможенных платежей, руководствуясь положениями статей 104, 106 Таможенного кодекса Евразийского экономического союза, суд округа пришел к выводу о правомерной квалификации административным органом правонарушения по части 2 статьи 16.2 Кодекса Российской Федерации об административных правонарушениях, признав постановление по делу об административном правонарушении законным и обоснованным, в связи с чем оставил в силе решение суда первой инстанции. Доводы общества о том, что им совершено более тяжкое правонарушение (недекларирование части товара), и его деяние образует состав административного правонарушения, предусмотренного частью 1 статьи 16.2 Кодекса Российской Федерации об административных правонарушениях, не могут служить основанием для отмены судебных актов исходя из принципа недопустимости ухудшения положения лица, привлеченного к административной ответственности. При этом удовлетворение кассационной жалобы общества привело бы к необоснованному отказу в привлечении правонарушителя к административной ответственности и нарушению принципа неотвратимости наказания.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