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28.09.2020, оставленным без изменения постановлением Пятнадцатого арбитражного апелляционного суда от 10.12.2020 и постановлением Арбитражного суда Северо-Кавказского округа от 09.03.2021,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предпринимателя (арендодатель) мотивированы ненадлежащим исполнением обществом обязательств (арендатор) по уплате арендных платежей в рамках договора аренды оборудования от 20.04.2015 № 01/8-14-АО (далее – договор), о расторжении которого арендодатель сообщил арендатору претензией-уведомлением от 03.02.2020.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наличие между сторонами договорных арендных отношений, отсутствие доказательств внесения ответчиком арендной платы за переданное ему оборудование и его возврата истцу после прекращения действия договора, руководствуясь статьями 309, 310, 330, 450, 606, 610, 614, 622 Гражданского кодекса Российской Федерации, суды первой и апелляционной сочли требования предпринимателя подлежащими удовлетворению. Суд округа согласился с выводами судов первой и апелляционной инстанций.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«Инженерно-технический центр «ГЕО»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