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«Юнерджи Холдинг» обратилось в Арбитражный суд города Москвы с иском о взыскании с общества с ограниченной ответственностью «УСГ-Строй» 41 546 484 рублей 41 копейки основного долга, 7 266 480 рублей 12 копеек неустойки за просрочку исполнения обязательств по возврату суммы займа за период с 01.03.2018 по 04.10.2019, неустойки в размере 0,03% от суммы просроченной задолженности за каждый день просрочки платежа за период с 05.10.2019 по день фактического исполнения обязательства по возврату суммы займа. Решением Арбитражного суда города Москвы от 20.11.2019 иск удовлетворен.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 и привлек к участию в деле в качестве третьего лица публичное акционерное общество «Газпром». 2 Постановлением Девятого арбитражного апелляционного суда от 09.11.2020 решение суда первой инстанции отменено, в удовлетворении иска отказано. Арбитражный суд Московского округа постановлением от 20.02.2021 постановление суда апелляционной инстанции оставил без изменения. Общество с ограниченной ответственностью «Юнерджи Холдинг»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апелляционной и кассационной инстанций исходили из корпоративного характера сложившихся между сторонами договоров займа и цессии правоотношений и отсутствия достаточных доказательств перехода права требования истцу.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«Юнерджи Холдинг»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