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частью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Пропуск срока на подачу жалобы заявитель считает обусловленным длительным периодом карантинного режима в связи с распространением новой коронавирусной инфекции и нерабочего режима в обществе, отсутствием дохода в целях уплаты государственной пошлины. Рассмотрев ходатайство о восстановлении срока, оснований для его удовлетворения не установлено. Настоящая кассационная жалоба направлена заявителем в Верховный Суд Российской Федерации 02.06.2021, то есть по истечении как двухмесячного процессуального срока на обжалование последнего судебного акта, принятого по существу спора, так и пресекательного шестимесячного срока, в пределах которого срок подачи кассационной жалобы может быть восстановлен. При этом согласно Указу Президента Российской Федерации от 25.03.2020 № 206 «Об объявлении в Российской Федерации нерабочих дней» нерабочие дни в Российской Федерации в связи с распространением новой коронавирусной инфекции (COVID-19) объявлены с 30.03.2020 и закончились задолго до вынесения судом кассационной инстанции судебного акта. Заявитель являлся инициатором подачи кассационной жалобы, его представитель участвовал в рассмотрении дела в суде округа, жалоба направлена в Верховный Суд Российской Федерации посредством заполнения формы, размещенной на официальном сайте суда в информационно- телекоммуникационной сети «Интернет», с приложением автоматизированных копий судебных актов. Доказательств, свидетельствующих о том, что заявителем осуществлялись какие-либо своевременные действия по подготовке кассационной жалобы, но он столкнулся с объективными препятствиями, суду не представлено. При этом в соответствии с положениями части 4 статьи 208 Арбитражного процессуального кодекса Российской Федерации за рассмотрение дел об оспаривании постановлений административных органов о 3 привлечении к административной ответственности государственная пошлина не уплачивается. Лица, участвующие в деле, несут риск наступления последствий совершения или несовершения ими процессуальных действий (статья 9 Арбитражного процессуального кодекса Российской Федерации). Восстановление пропущенного срока на подачу кассационной жалобы в отсутствие уважительных причин пропуска такого срока в нарушение статьи 8 Кодекса ставит одну из сторон в преимущественное положение. При таких обстоятельствах ходатайство о восстановлении пропущенного процессуального срока подлежит оставлению без удовлетворения, а кассационная жалоба - возвращению заявителю.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«Златоустовский литейный завод – Метапласт» о восстановлении пропущенного срока отказать, кассационную жалобу возвратить заявителю. Судья Верховного Суда А.Г. 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