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01.06.2020 в удовлетворении иска отказано. Шестнадцатый арбитражный апелляционный суд определением от 11.08.2020 перешел к рассмотрению дела по правилам суда первой инстанции; постановлением от 22.09.2020 отменил решение суда первой инстанции и принял новый судебный акт об удовлетворении иска. Постановлением Арбитражного суда Северо-Кавказского округа от 08.02.2021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предприниматель, ссылаясь на нарушение судами апелляционной инстанции и округа норм материального и процессуального права, 2 просит отменить их постановления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ненадлежащее исполнение предпринимателем (арендатор) обязанности по оплате пользования арендованными по спорному договору помещениями в заявленный период, руководствуясь статьями 606, 610, 614 Гражданского кодекса Российской Федерации, суд апелляционной инстанции пришел к выводу о наличии оснований для удовлетворения иска. При этом суд отклонил довод ответчика о пропуске учреждением срока исковой давности ввиду того, что течение этого срока прерывалось в связи с совершением предпринимателем действий, свидетельствующих о признании долга. Суд округа согласился с выводами апелляционного суда. Доводы кассационной жалобы не опровергают приведенные выводы судов, не подтверждают существенных нарушений судами апелляционной и кассационной инстанций норм материального и процессуального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Абакаровой Разиет Идрисовны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