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«Солюшен Финанс» на основании договора уступки права требования обратилось в Арбитражный суд Московской области с иском о взыскании с федерального государственного унитарного предприятия «Санкт-Петербургское отделение Головного проектного и научно-исследовательского института» (в настоящее время – федеральное государственное унитарное предприятие «Научно- исследовательский проектный институт») 3 000 000 рублей задолженности по договору займа от 20.08.2018, 387 945 рублей 21 копейки процентов за пользование займом за период с 20.08.2019 по 04.12.2019, с последующим начислением процентов по день фактического исполнения обязательства, 26 538 рублей 76 копеек процентов за пользование чужими денежными средствами за период с 22.10.2019 по 04.12.2019 и 15 126 рублей 58 копеек неустойки за период с 22.10.2019 по 04.12.2019, с последующим начислением процентов и неустойки по день фактического исполнения обязательства. 2 К участию в деле в качестве третьих лиц, не заявляющих самостоятельных требований относительно предмета спора, привлечены Абрамов Игорь Викторович и Министерство науки и высшего образования Российской Федерации. К совместному рассмотрению с первоначальным иском принят встречный иск федерального государственного унитарного предприятия «Научно- исследовательский проектный институт» к обществу с ограниченной ответственностью «Солюшен Финанс» о признании договора займа от 20.08.2018 недействительным. Решением Арбитражного суда Московской области от 18.06.2020 первоначальный иск удовлетворен, в удовлетворении встречного иска отказано. Постановлением Десятого арбитражного апелляционного суда от 25.11.2020 решение суда первой инстанции оставлено без изменения. Арбитражный суд Московского округа постановлением от 16.02.2021 указанные судебные акты оставил без изменения. Федеральное государственное унитарное предприятие «Научно- исследовательский проектный институт»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первоначальный иск, суды руководствовались положениями статей 309, 310, 382, 395, 809, 810, 811 Гражданского кодекса Российской Федерации и исходили из доказанности факта перечисления заемных денежных средств заемщику и отсутствия доказательств возврата спорной суммы займодавцу. 3 Отказывая в удовлетворении встречного иска, суды руководствовались положениями статей 168, 178, 179, 199 Гражданского кодекса Российской Федерации и исходили из отсутствия оснований для признания договора недействительным и пропуска заемщиком срока исковой давности.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привели или могли привести к принятию неправильных судебных актов и которые могли бы явиться основанием для изменения или отмены принятых по делу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унитарному предприятию «Научно-исследовательский проектный институт»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