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07.11.2018, оставленным без изменения постановлением Девятого арбитражного апелляционного суда от 29.01.2019, иск удовлетворен. Постановлением Арбитражного суда Московского округа от 05.06.2019 указанные судебные акты отменены, дело направлено на новое рассмотрение в суд первой инстанции. 2 При новом рассмотрении дела решением Арбитражного суда города Москвы от 25.02.2020, оставленным без изменения постановлением Девятого арбитражного апелляционного суда от 21.10.2020, иск удовлетворен. Постановлением Арбитражного суда Московского округа от 11.02.2021 указанные судебные акты оставлены без изменения. Учреждение обратилось в Верховный Суд Российской Федерации с кассационной жалобой, в которой просит принятые при новом рассмотрении дела судебные акты отменить, в иске отказать.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статей 309, 310, 329, 330, 401 Гражданского кодекса Российской Федерации, статьей 34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удовлетворили иск, признав факт нарушения обязательств учреждением и наличие оснований для взыскания неустойки. Доводы жалобы повторяют позицию учреждения по делу, являлись предметом рассмотрения судов и получили исчерпывающую правовую оценку с учетом конкретных установленных обстоятельств, связанных с определением вины учреждения и отсутствием оснований для применения статьи 333 Гражданского кодекса Российской Федерации. Иных доводов в жалобе не приведено.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