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«Хайтджинро-Русь Фуд Компани» обратилось в Арбитражный суд города Москвы с иском о взыскании с общества с ограниченной ответственностью «ДВ Балт» 1 929 279 рублей неустойки за нарушение сроков оплаты товара по договору поставки от 07.11.2017 № HJRFD711-H2. Решением Арбитражного суда города Москвы от 11.08.2020 иск удовлетворен. Постановлением Девятого арбитражного апелляционного суда от 07.12.2020 решение суда первой инстанции оставлено без изменения. Арбитражный суд Московского округа постановлением от 17.02.2021 указанные судебные акты оставил без изменения. Общество с ограниченной ответственностью «ДВ Балт»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признав доказанным факт поставки товара и нарушение срока его оплаты, руководствуясь положениями статей 309, 310, 329, 330, 506, 516 Гражданского кодекса Российской Федерации, суды пришли к выводу об обоснованности иска. Доводы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«ДВ Балт»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