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26.05.2021 направил в Верховный Суд Российской Федерации кассационную жалобу, одновременно заявив ходатайство о восстановлении пропущенного срока ее подачи. В обоснование ходатайства ссылается на позднее размещение в сети Интернет и направление копии постановления суда округа.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поскольку исчисление срока на подачу жалобы с момента получения надлежащим образом заверенной копии судебного акта процессуальным законодательством не предусмотрено.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обжалуемого судебного акта согласно данным Картотеки арбитражных дел своевременно размещен в сети Интернет (25.03.2021) и с этого момента был доступен для ознакомления и подготовки жалобы. Доказательств направления судом округа копии судебного акта с нарушением срока не приведено.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ознакомиться с содержанием обжалуемых судебных актов и принять решение по вопросу подготовки и подачи кассационной жалобы в предусмотренный процессуальным законодательством срок.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184, 185,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«Восход» о восстановлении пропущенного срока подачи кассационной жалобы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