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Pala Assets Holding Limited (далее – Компания Пала Эссетс Холдинг Лимитед) обратилась в Арбитражный суд города Москвы с иском, уточненным в порядке статьи 49 Арбитражного процессуального кодекса Российской Федерации (далее – АПК РФ), к закрытому акционерному обществу (далее – ЗАО) «Компания «Русский стандарт», обществу с ограниченной ответственностью (далее – ООО) «Русский Стандарт-Инвест», Тарико Рустаму Васильевичу, Пикки Алессандро, Берестову Сергею Викторовичу, Икатову Сергею Александровичу, Хмель Михаилу Дмитриевичу, Александровой Ирине Вячеславовне о солидарном взыскании 2 787 220 710 рублей убытков (дело № А40-21111/2020). Компания Aleia Trading Inc. (далее – Компания Алайа Трэйдинг Инк.) обратилась в Арбитражный суд города Москвы с иском, уточненным в порядке статьи 49 АПК РФ, к ЗАО «Компания «Русский стандарт», ООО «Русский Стандарт-Инвест», Тарико Рустаму Васильевичу, Пикки Алессандро, Берестову Сергею Викторовичу, Икатову Сергею Александровичу, Хмель Михаилу Дмитриевичу, Александровой Ирине Вячеславовне о солидарном взыскании 300 753 201 рубля 18 копеек убытков (дело № А40-85630/2020). 2 Определением Арбитражного суда города Москвы от 02.07.2020 дела А40-21111/2020 и А40-85630/2020 объедены; объединенному делу присвоен номер А40-21111/2020. К участию в деле в качестве третьих лиц, не заявляющих самостоятельных требований относительно предмета спора, привлечены акционерное общество «Банк русский стандарт» (далее – Банк), Russian Standart Ltd (далее – Компания Рашн Стэндард Лимитед), CITIBANK, N.A. (далее – Ситибанк Эн Эй Лондон Брэнч). Решением Арбитражного суда города Москвы от 23.07.2020, оставленным без изменения постановлением Девятого арбитражного апелляционного суда от 09.11.2020 и постановлением Арбитражного суда Московского округа от 04.03.2021,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на неправильное применение статей 53.1, 430, 1064 Гражданского кодекса Российской Федерации (далее – Гражданский кодекс), на свое безусловное право, как держателей облигаций, на подачу иска о взыскании убытков с контролирующих Банк лиц. Истцы утверждают, что ответчиками в нарушение условий договора залога были совершены действия, повлекшие уменьшение стоимости заложенных акций, что напрямую влияет на имущественное положение (получение соответствующего дохода) держателей облигаций.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27.10.2015 Компания Рашн Стэндард Лимитед, ЗАО «Компания «Русский Стандарт», ООО «Русский Стандарт-Инвест» и Ситибанк Эн Эй Лондон Брэнч заключили Трастовое соглашение (Договор доверительного управления). Данный договор заключен в связи с эмиссией Компанией Рашн Стэндард Лимитед облигаций со сроком погашения в 2022 году стоимостью 451 000 000 долларов США по ставке 13%. Компания Пала Эссетс Холдинг Лимитед по состоянию на 07.06.2018 являлась держателем облигаций Компании Рашн Стэндард Лимитед на сумму 112 000 000 долларов США. 3 Компания Алайа Трэйдинг Инк. по состоянию на 15.05.2018 являлась держателем облигаций Компания Рашн Стэндард Лимитед на сумму 12 084 328 долларов США. ЗАО «Компания «Русский Стандарт» (залогодатель) и Ситибанк Эн Эй Лондон Брэнч (залогодержатель) заключили договор залога 556 925 акций Банка, составляющих 39,9884764% уставного капитала финансовой организации. ООО «Русский Стандарт-Инвест» (залогодатель) и Ситибанк Эн Эй Лондон Брэнч (залогодержатель) заключили договор залога 127 279 акций Банка, составляющих 9,115233% уставного капитала финансовой организации. Пунктом 16 договоров залога предусмотрено регулирование спорных правоотношений законодательством Российской Федерации (российским правом). Ссылаясь на то, что в результате исполнения указанных сделок истцам причинены убытки в виде снижения стоимости акций Банка, а также указывая, что ЗАО «Компания «Русский Стандарт» и ООО «Русский Стандарт-Инвест» как залогодатели, а также акционеры Банка одобрили указанные выше сделки в нарушение условий договоров залога, условия приобретения облигаций Компании Рашн Стэндард Лимитед, истцы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307, 308, 356, 393, 430, 1064 Гражданского кодекса, суды отказали в удовлетворении требований, придя к обоснованным выводам об отсутствии причинной связи между действиями ответчиков и исполнением сделок перед третьими лицами, и соответственно, об отсутствии совокупности условий для взыскания убытков. При этом судебные инстанции правомерно указали, что финансово- экономическая оценка стоимости акций организации, равно как и определение показателей ее прибыльности или убыточности, основывается в том числе, и на анализе стоимости чистых активов (капитала) организации, а не на оценке отдельных сделок, отобранных истцом. Между тем из публично доступной на официальном сайте Банка в информационно-телекоммуникационной сети Интернет консолидированной финансовой отчетности следует, что финансовое положение кредитной организации в последние годы улучшалось. Фактически стоимость чистых активов Банка за 5 лет выросла практически в два раза, составив в 2019 году 30,15 млрд. рублей. Заявителями не представлено доказательств того, что стоимость акций Банка сократилась за время их нахождения в залоге, что ответчики совершили противоправные действия, противоречащие условиям договоров залога и условиям выпуска облигаций, а также нарушающие фидуциарные обязанности органов управления Банка.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Pala Assets Holding Limited и Aleia Trading Inc.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