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Хинельцев Николай Олегович обратился в суд с заявлением о признании недействительными сделками перечислений в период с 24.06.2016 по 13.12.2016 с расчётного счёта должника в пользу Бутченко А.В. на общую сумму 11 322 000 рублей; применении последствий недействительности сделок. Определением Арбитражного суда города Москвы от 03.09.2020, оставленным без изменения постановлениями Девятого арбитражного апелляционного суда от 09.11.2020 и Арбитражного суда Московского округа от 11.02.2021,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статьёй 19, пунктом 2 статьи 61.2 Федерального закона от 26.10.2002 № 127-ФЗ «О несостоятельности (банкротстве)» установив, что получение заинтересованным лицом в период подозрительности от неплатёжеспособного должника денежных средств в отсутствие для последнего разумной экономической выгоды свидетельствовало о злоупотреблении правом и направленности действий сторон на причинение вреда имущественным правам кредиторов, удовлетворили заявление конкурного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Бутченко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