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недействительной сделкой принудительного списания с расчётного счёта должника на основании инкассовых поручений Инспекции Федеральной налоговой службы России по Всеволожскому району Ленинградской области (далее – уполномоченный орган) 115 178 рублей 85 копеек; применении последствий недействительности сделки в виде взыскания спорной суммы в пользу должника и восстановления права требования уполномоченного органа к должнику. Определением Арбитражного суда города Санкт-Петербурга и Ленинградской области от 07.08.2020, оставленным без изменения постановлениями Тринадцатого арбитражного апелляционного суда от 11.11.2020 и Арбитражного суда Северо-Западного округа от 19.02.2021,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в суд первой инстанции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пунктами 1 и 2 статьи 61.3, пунктом 2 статьи 134 Федерального закона от 26.10.2002 № 127-ФЗ «О несостоятельности (банкротстве)», пунктами 3, 13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 и исходили из недоказанности совокупности условий для признания недействительной оспариваемой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«Ливиз» Халиуллиной Светлане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