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привлечении солидарно к субсидиарной ответственности по обязательствам должника Иванова Максима Евгеньевича, Савина Михаила Юрьевича, Ефремова Бориса Эрионовича, обществ с ограниченной ответственностью «Цезарь Кварц» и «Мир Кварца». Определением Арбитражного суда города Москвы от 21.09.2020 заявление удовлетворено в части требований к Иванову М.Е., производство по заявлению приостановлено до завершения расчётов с кредиторами; в удовлетворении заявления в остальной части отказано. Постановлением Девятого арбитражного апелляционного суда от 21.01.2021, оставленным без изменения постановлением Арбитражного суда Московского округа от 30.03.2021, данное определение отменено в удовлетворённой части требований, в отменённой части конкурсному управляющему отказано в удовлетворения заявления к Иванову М.Е. В остальной части определение суда первой инстанции от 21.09.2020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9, 61.11, 61.12 Федерального закона от 26.10.2002 № 127-ФЗ «О несостоятельности (банкротстве)», не установили оснований для привлечения Иванова М.Е. к субсидиарной ответственности по обязательствам должника.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«Цезарь-кварц» Мищенковой Марии Васильевне в передаче её кассационной жалобы для рассмотрения в судебном заседании Судебной коллегии 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