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обратился в суд с заявлением о взыскании с Усть-Камчатского сельского поселения в лице Администрации Усть-Камчатского сельского поселения и Администрации Усть-Камчатского муниципального района (далее – ответчики) убытков размере 34 441 048 рублей 26 копеек. Определением Арбитражного суда Камчатского края от 25.09.2020, оставленным без изменения постановлениями Пятого арбитражного апелляционного суда от 07.12.2020 и Арбитражного суда Дальневосточного округа от 18.02.2021, в удовлетворении заявления отказано. В кассационной жалобе, поданной в Верховный Суд Российской Федерации, заявитель просит отменить названные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 руководствовались статьями 15, 393 Гражданского кодекса Российской Федерации, статьями 60, 61.20 Федерального закона от 26.10.2002 № 127-ФЗ «О несостоятельности (банкротстве)» и исходили из отсутствия надлежащих и достаточных доказательств виновных действий каждого из ответчиков, причинно-следственной связи между такими действиями и причинением заявленных убытков. Выводы судов соответствуют нормам права, оснований их переоценки по доводам жалобы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конкурному управляющему федеральным государственным унитарным предприятием «Усть-Камчатский морской торговый порт» Богомолову Александру Леонидовичу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