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22.09.2020, оставленным без изменения постановлениями Девятого арбитражного апелляционного суда от 11.12.2020 и Арбитражного суда Московского округа от 10.03.2021,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открытого конкурса на выполнение работ по разработке проектной документации на капитальный ремонт помещений объектов культуры в районе Хамовники города Москвы, в связи с чем учреждением (заказчик) в адрес общества направлен проект контракта. Поскольку заявителем не исполнена обязанность по надлежащему предоставлению обеспечения исполнения обязательства, заказчик обратился в антимонопольный орган с информацией о поставщике, признанном уклонившимся от заключения контракта по итогам открытого конкурса. По результатам рассмотрения представленных сведений антимонопольным органом вынесено оспариваемое решение, которым сведения в отношении общества внесены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статьи 401 Гражданского кодекса Российской Федерации, статей 45, 83.2, 96, 104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том, что оспариваемый ненормативный правовой акт управления соответствует действующему законодательству и не нарушает права и интересы заявителя. При этом судебные инстанции исходили из несоответствия представленной обществом банковской гарантии требованиям конкурсной документации. Суды отметили, что общество, получив отказ в принятии заказчиком представленной банковской гарантии, не предприняло необходимых мер, направленных на соблюдение условий заключения государственного контракта. Довод о том, что антимонопольный орган несвоевременно включил информацию в реестр недобросовестных поставщиков, чем нарушил право общества на своевременное исключение сведений из данного реестра, не принимается в качестве основания для отмены судебных актов, поскольку срок для исключения информации из реестра (подлежащий исчислению по истечении двух лет с момента наступления обязанности по включению 3 информации в реестр) на момент рассмотрения дела в судах трех инстанций и на дату рассмотрения настоящей кассационной жалобы не наступил. Иные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«ЛОФТ 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