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03.06.2021 направил в Верховный Суд Российской Федерации кассационную жалобу и одновременно заявил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2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Кодекса арбитражный суд восстанавливает пропущенный процессуальный срок, если признает причины пропуска уважительными. Оценив приведенные причины пропуска процессуального срока, учитывая незначительность его пропуска (1 день), суд признает их уважительными. Поскольку ходатайство о восстановлении пропущенного процессуального срока заявлено в пределах установленного срока, причины пропуска срока признаны судом уважительными, данное ходатайство подлежит удовлетворению на основании части 2 статьи 291.2 Арбитражного процессуального кодекса Российской Федерации. Руководствуясь статьями 117, 184,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Управления капитального строительства и благоустройства администрации Озерского городского округа Челябинской области о восстановлении пропущенного срока удовлетворить, срок на подачу кассационной жалобы восстановить. Судья Верховного Суда А.Г. Першутов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