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25.05.2020, оставленным без изменения постановлениями Шестого арбитражного апелляционного суда от 01.09.2020 и Арбитражного суда Дальневосточного округа от 09.02.2021, в удовлетворении заявленных требований отказано. 2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недостижением обществом (инвестор) основных показателей результативности и эффективности инвестиционного проекта, установленных соглашением от 16.09.2013 о взаимодействии в рамках реализации приоритетного инвестиционного проекта «Маленькая Венеция», невыполнением (невозможностью выполнения) графика реализации проекта на заседании комиссии по приоритетным инвестиционным проектам и улучшению инвестиционного климата при правительстве принято решение от 27.08.2019 об исключении из перечня приоритетных инвестиционных проектов области инвестиционного проекта «Туристический торгово-гостиничный комплекс «Маленькая Венеция» на основании подпункта 3 пункта 5.3 постановления правительства от 04.04.2011 № 217 «Об утверждении порядка формирования перечня приоритетных инвестиционных проектов» (далее – Порядок № 217). Распоряжением правительства от 10.09.2019 инвестиционный проект общества исключен из перечня приоритетных инвестиционных проектов области. Полагая, что решение от 27.08.2019 и распоряжение от 10.09.2019 № 233-р являются недействительными, общество обратилось в арбитражный суд. Исследовав обстоятельства дела и оценив имеющиеся доказательства, руководствуясь положениями Федерального закона от 25.02.1999 № 39-ФЗ «Об инвестиционной деятельности в Российской Федерации, осуществляемой в форме капитальных вложений», Порядком № 217, суды пришли к выводу об отсутствии оснований для удовлетворения заявленных требований. Судебные инстанции исходили из доказанности несоблюдения инвестором условий соглашения от 16.09.2013 о взаимодействии в рамках реализации приоритетного инвестиционного проекта «Маленькая Венеция», в связи с чем признали решение об исключении из перечня инвестиционных проектов обоснованным. 3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«Коммерческо-строительная компания «ХУАФУ»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