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обратился в суд с заявлением о признании недействительной сделкой совершённого между должником и обществом с ограниченной ответственностью «Ампер» (далее – общество) договора № РД0325179 от 26.11.2019 об отчуждении исключительных прав на товарный знак № 553844, применении последствий недействительности данной сделки в виде возложения на общество обязанности возвратить в конкурсную массу должника исключительное право на товарный знак. Определением Арбитражного суда Свердловской области от 17.09.2020, оставленным без изменения постановлениями Семнадцатого арбитражного апелляционного суда от 09.12.2020 и Арбитражного суда Уральского округа от 20.02.2021,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168, 173.1 Гражданского кодекса Российской Федерации, пунктом 5 статьи 213.11 Федерального закона от 26.10.2002 № 127-ФЗ «О несостоятельности (банкротстве)», установили, что оспариваемая сделка состоялась до введения процедуры реструктуризации долгов гражданина, совершена на рыночных условиях с равноценным встречным предоставлением, в связи с чем отказали в удовлетворении заявленных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Малоземова Александра Юрьевича Домнину Сергею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