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муниципального образования город Тула (далее – администрация) обратилась в суд с заявлением об обязании конкурсного управляющего должником Горбатенко Евгения Викторовича передать в собственность муниципального образования город Тула комплекса очистных сооружений, расположенного по адресу: Тульская область, Ленинский район, с-п Иншинское, п. Рассвет в составе его вспомогательных и поименованных администрацией элементов. Во встречном заявлении конкурсный управляющий просил обязать администрацию принять на баланс имущество должника в составе названного комплекса очистных сооружений на возмездной основе с оплатой в размере 7 563 000 рублей. Определением Арбитражного суда Тульской области от 31.07.2020, оставленным без изменения постановлениями Двадцатого арбитражного апелляционного суда от 30.11.2020 и Арбитражного суда Центрального округа от 26.02.2021, заявление администрации удовлетворено; встречное заявление конкурсного управляющего оставлено без удовлетворения. В кассационной жалобе, поданной в Верховный Суд Российской Федерации, заявитель просит отменить названные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60, 129, 132, 148 Федерального закона от 26.10.2002 № 127-ФЗ «О несостоятельности (банкротстве), исходили из наличия оснований для удовлетворения требований администрации и отсутствия оснований для удовлетворения встречного иска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«Лотос ТЕХ»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