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16.04.2018 в реестр требований кредиторов должника включено требование Федеральной налоговой службы в размере 1 428 907 рублей – задолженности по арендной плате, 87 642 616 рублей 32 копеек – в качестве возмещения ущерба окружающей среде. Не согласившись с данным судебным актом, заявитель обратился в Седьмой арбитражный апелляционный суд с апелляционной жалобой. Определением Седьмого арбитражного апелляционного суда от 15.02.2021, оставленным без изменении постановлением Арбитражного суда Западно-Сибирского округа от 31.03.2021, производство по апелляционной жалобе прекращено на основании пункта 1 части 1 статьи 150 Арбитражного процессуального суда Российской Федерации в связи с её подачей лицом, не имеющим права на обжалование судебного акта. В кассационной жалобе, поданной в Верховный Суд Российской Федерации, заявитель просит отменить названные судебные акты и направить его апелляционную жалобу в суд апелляционной инстанции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Прекращая производство по жалобе и подтверждая его законность, суды апелляционной инстанции и округа, руководствуясь статьями 150, 270, 271, 287, 288 Арбитражного процессуального кодекса Российской Федерации, статьями 34, 35 Федерального закона от 26.10.2002 № 127-ФЗ «О несостоятельности (банкротстве)», а также разъяснениями, содержащимися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отсутствия у заявителя права на обжалование судебного акта, не затрагивающего его прав и законных интересов, а также не возлагающего на него каких-либо обязанностей.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«Новые горные технологии»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