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Калужской области (далее – уполномоченный орган) обратилась в суд с жалобой о признании ненадлежащими действий (бездействия) конкурного управляющего, выразившихся в: непринятии мер по взысканию дебиторской задолженности с общества с ограниченной ответственностью «Лестехсервис плюс»; необоснованном несении расходов в ходе процедуры конкурсного производства на аренду транспортного средства для обеспечения деятельности конкурсного управляющего и отнесение указанных расходов на счёт должника. Определением Арбитражного суда Калужской области от 28.09.2020, оставленным без изменения постановлениями Двадцатого арбитражного апелляционного суда от 01.12.2020 и Арбитражного суда Центрального округа от 26.02.2021, жалоба удовлетворена.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20.7, 60, 129 Федерального закона от 26.10.2002 № 127-ФЗ «О несостоятельности (банкротстве)», установив, что на протяжении длительного периода времени заявителем не предпринимались меры по получению с дебитора платы за переданный должником объект недвижимости в целях пополнения конкурсной массы, а привлечение им специалиста не отвечало критериям разумности и обоснованности, удовлетворили жалобу уполномоченного органа.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государственного предприятия Калужской области «Медынский лесхоз» Смагину Владимиру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