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Губенко В.И. обратился в суд с заявлением о включении в реестр требований кредиторов должника (далее – реестр) задолженности в размере 537 498 рублей 17 копеек, из которых 350 000 рублей – как обеспеченных залогом имущества должника, заявив ходатайство о восстановлении пропущенного срока на подачу данного заявления. Определением Арбитражного суда Ростовской области от 14.09.2020, оставленным без изменения постановлениями Пятнадцатого арбитражного апелляционного суда от 27.11.2020 и Арбитражного суда Северо-Кавказского округа от 04.03.2021, в удовлетворении ходатайства о восстановлении срока на подачу заявления о включении в реестр отказано; производство по заявлению в части включения в реестр требований кредиторов судебных расходов по уплате государственной пошлины в размере 8 490 рублей прекращено. Требование Губенко В.И. в размере 529 008 рублей 17 копеек признано обоснованным и подлежащим удовлетворению преимущественно перед иными зареестровыми требованиями из суммы, вырученной от продажи залогового имущества должника и оставшегося после удовлетворения требований реестровых кредиторов,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в части отказа 2 в восстановлении срока на подачу заявления, принять по делу новый судебный акт о восстановлении ему данного срока,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жалобы, таких оснований не установлено. Разрешая спор в обжалуемой части, суды, руководствуясь статьями 71, 100, 142, 213.1, 213.8, 213.24 Федерального закона от 26.10.2002 № 127-ФЗ «О несостоятельности (банкротстве)», исходили из пропуска установленного законом срока на подачу заявления и отсутствия уважительных причин для его восстановления взыскателю, на протяжении длительного периода времени не предпринимавшему действий по предъявлению исполнительного документа в службу судебных приставов с целью инициирования процедуры принудительного исполнения судебного акта и получения с должника присужденных ему денежных средств.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Губенко Владимиру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