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10.07.2020, оставленным без изменения постановлением Тринадцатого арбитражного апелляционного суда от 05.11.2020, в удовлетворении заявленных требований отказано. Постановлением Арбитражного суда Северо-Западного округа от 17.02.2021 указанные судебные акты оставлены без изменения. Предприятие и общество обратились в Верховный Суд Российской Федерации с кассационными жалобами, в которых просят названные судебные акты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 и принятых по делу судебных актов таких оснований для передачи жалоб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Федеральный закон от 27.07.2010 № 190-ФЗ «О теплоснабжении», Жилищного кодекса Российской Федерации,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РФ от 06.05.2011 № 354, Правил содержания общего имущества в многоквартирном доме, утвержденных Постановлением Правительства Российской Федерации 3 от 13.08.2006 № 491, суды отказали в удовлетворении заявленных требований, признав, что оспариваемое предписание выдано при наличии достаточных оснований, применяемый обществом порядок начисления платы за отопление неприменим в отсутствие доказательств учета особенностей теплопотребления каждого из многоквартирных домов и возможности применения показаний прибора учета в рассматриваемом случае. Доводы жалоб были предметом рассмотрения судов и получили исчерпывающую правовую оценку, в том числе, с учетом наличия жалобы жильцов.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