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Сидоров Александр Анатольевич обратился в суд с заявлением о признании недействительным соглашения о прекращении взаимных обязательств зачётом от 31.08.2017, заключенного должником и обществом с ограниченной ответственностью «Инертстрой» (далее – общество); применении последствий недействительности сделки. Определением Арбитражного суда Чувашской Республики – Чувашии от 26.06.2020, оставленным без изменения постановлениями Первого арбитражного апелляционного суда от 03.11.2020 и Арбитражного суда Волго- Вятского округа от 10.02.2021, заявление удовлетворено. В кассационной жалобе, поданной в Верховный Суд Российской Федерации, заявитель просит истребовать материалы дела из Арбитражного суда Чувашской Республики – Чувашии и передать жалобу вместе с делом для рассмотрения в судебном заседании суда кассационной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61.1, 61.3 Федерального закона от 26.10.2002 № 127-ФЗ «О несостоятельности (банкротстве)», исходили из доказанности конкурсным управляющим совокупности условий для признания недействительной оспариваемой сделки, совершённой в период предпочтительности неплатежеспособным должником в пользу фактически аффилированного с ним общества, погасившего своё требование приоритетно перед требованиями иных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Кузьмину Юрию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