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«Партнер» (далее – кредитор) обратился в суд с заявлением о пересмотре по вновь открывшимся обстоятельствам определения Арбитражного суда Московской области от 25.06.2018 о включении требований общества с ограниченной ответственностью «Южный ювелирный оптовый центр» (далее – центр) в реестр требований кредиторов должника. Решением Арбитражного суда Московской области от 06.07.2020 заявление удовлетворено частично. Постановлением Десятого арбитражного апелляционного суда от 03.11.2020, данное решение отменено; заявление удовлетворено; определение суда первой инстанции от 25.06.2018 отменено полностью. Постановлением Арбитражного суда Московского округа от 24.02.2021 решение суда первой инстанции от 06.07.2020 и постановление апелляционного суда от 03.11.2020 оставлено без изменения.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отказе в удовлетворении заявления кредитора.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309, 311, 317 Арбитражного процессуального кодекса Российской Федерации, пунктом 4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наличия новых и существенных обстоятельств, в связи с чем пришли к выводам о необходимости отмены ранее принятого по спору судебного акта и необходимости повторного рассмотрения заявления центра на предмет его обоснованности.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учредителя общества с ограниченной ответственностью «Миоро» Ларину Ивану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