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Ямпольский И.С. обратился в суд с заявлением о признании обоснованным и подлежащим включению в реестр требований кредиторов должника (далее – реестр) требования в размере 52 000 000 рублей, основанного на заключенных им с заёмщиком Швыдченко Михаилом Анатольевичем договорах займа от 01.09.2017 и от 13.04.2018, а также заключенных с должником договорах поручительства от 05.09.2017 и от 16.04.2018. Определением Арбитражного суда Воронежской области от 16.07.2020, оставленным без изменения постановлениями Девятнадцатого арбитражного апелляционного суда от 26.10.2020 и Арбитражного суда Центрального округа от 11.02.2021,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Воронежской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361, 363, 807, 808 Гражданского кодекса Российской Федерации, статьями 71, 100, 142 Федерального закона от 26.10.2002 № 127-ФЗ «О несостоятельности (банкротстве)», исходили из недоказанности наличия в распоряжении заявителя на момент заключения и исполнения заёмных сделок свободных наличных денежных средств в размере, достаточном для передачи заёмщику под предоставленное должником обеспечение, в связи с чем не установили оснований для включения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Ямпольскому Игорю Станиславовичу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