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20.07.2020 в удовлетворении исковых требований отказано. Постановлением Пятого арбитражного апелляционного суда от 03.12.2020 решение суда первой инстанции изменено, с общества в пользу компании взыскано 1 182 266 руб. неосновательного обогащения, 24 827 руб. расходов по государственной пошлине по иску, 3000 руб. – по апелляционной жалобе, а также 15 000 руб. расходов на оплату услуг представителя. Произведено взыскание процентов, начисляемых на сумму основного долга исходя из ключевой ставки Центрального Банка Российской Федерации, действующей в соответствующие периоды, начиная с момента вступления постановления в законную силу до фактического погашения долга. В удовлетворении 2 остальной части исковых требований и ходатайства о взыскании представительских расходов отказано. Постановлением Арбитражного суда Дальневосточного округа от 30.03.2021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права, просит отменить их постановления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Изменяя решение суда первой инстанции и удовлетворяя исковые требования в части, суд апелляционной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контракт от 05.09.2016 № П-0916/04 и приложения к нему, переписку сторон, акты освидетельствования дополнительных работ, руководствуясь статьями 309, 310, 395, 450.1, 453, 709, 717, 740, 743, 746, 753, 1102, 1107 Гражданского кодекса Российской Федерации, исходил из доказанности компанией (субподрядчик) факта согласования с обществом (генподрядчик) спорных дополнительных работ, их необходимости и выполнения генподрядчиком. Суд округа согласился с выводами апелляционного суда. Приведенные обществом в кассационной жалобе доводы свидетельствуют о его несогласии с оценкой доказательств по делу, при этом существенных нарушений норм материального и процессуального права, повлиявших на исход дела не подтверждают. При указанных обстоятельствах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обжалуемых судебных актов не подлежит рассмотрению.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«Монолит ИнвестСтрой»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