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05.06.2020, оставленным без изменения постановлением Девятого арбитражного апелляционного суда от 01.09.2020 и постановлением Арбитражного суда Московского округа от 14.12.2020, с общества в пользу предпринимателя взыскано 163 673 руб. 77 коп. неустойки, 15 000 руб. расходов на оплату услуг представителя, в удовлетворении остальной части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принять новый судебный акт об удовлетворении исковых требований либо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382 , 384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Закона Российской Федерации от 07.02.1992 № 2300-1 «О защите прав потребителей», исследовав и оценив представленные в материалы дела доказательства, в том числе договор участия в долевом строительстве и обстоятельства его исполнения сторонами, проверив расчет неустойки и скорректировав период ее начисления, снизив размер неустойки по правилам статьи 333 Гражданского кодекса Российской Федерации, учитывая, что передача потребителем штрафа возможна только после его присуждения судом, суды первой и апелляционной инстанций пришли к выводу о наличии оснований для удовлетворения требований предпринимателя в части взыскания 163 673 руб. 77 коп. неустойки, с чем впоследствии согласился суд округа. Доводы кассационной жалобы не свидетельствуют о существенном нарушении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"ЛСР. ОБЪЕКТ-М"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