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«Средневолжская Сахарная Компания» обратилось в Арбитражный суд Самарской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«Продкомп» 3 213 100 рублей задолженности и 4 960 952 рублей 35 копеек неустойки по договору поставки от 01.04.2015 № 06/15, с последующим начислением неустойки по день фактической уплаты задолженности. Решением Арбитражного суда Самарской области от 09.07.2020 в удовлетворении иска отказано. Постановлением Одиннадцатого арбитражного апелляционного суда от 30.10.2020 решение суда первой инстанции оставлено без изменения. Арбитражный суд Поволжского округа постановлением от 18.02.2021 указанные судебные акты оставил без изменения. 2 Общество с ограниченной ответственностью «Средневолжская сахарная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195, 196, 199, 307, 309, 310, 319, 421, 486, 506, 516 Гражданского кодекса Российской Федерации, разъяснениями Пленума Верховного Суда Российской Федерации, изложенными в постановлении от 22.11.2016 № 54 «О некоторых вопросах применения общих положений Гражданского кодекса Российской Федерации об обязательствах и их исполнении», статьями 9, 41, частью 3.1 статьи 70 Арбитражного процессуального кодекса Российской Федерации, суды пришли к выводу о недоказанности наличия задолженности и пропуске истцом срока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«Средневолжская сахарная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