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16.12.2019 взыскано 1 683 764 рубля 10 копеек стоимости некачественного товара, 344 802 рубля 58 копеек процентов за пользование чужими денежными средствами, 74 300 рублей убытков и 217 650 рублей расходов на экспертизу. Седьмой арбитражный апелляционный суд постановлением от 07.10.2020 отменил решение от 16.12.2019 и отказал в удовлетворении иска. Арбитражный суд Западно-Сибирского округа постановлением от 08.02.2021 постановление Седьмого арбитражного апелляционного суда от 07.10.2020 оставил без изменения. В кассационной жалобе предприниматель просит об отмене судебных актов апелляционного и окружного судов, ссылаясь на игнорирование дополнительного требования к качеству товара и нарушение норм права о доказывании и оценке доказательств.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недоказанность ненадлежащего качества поставленного ответчиком товара, поэтому отказал в иске на основании статей 469, 475, 476, 506, 518 Гражданского кодекса Российской Федерации и статьи 65 Арбитражного процессуального кодекса Российской Федерации.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Багуто И.Б.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