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городского имущества города Москвы (далее – Департамент) обратился в Арбитражный суд города Москвы с иском к обществу с ограниченной ответственностью «Компания «ЭКОМЕКС» (далее – Общество) о взыскании 4 510 964 рублей 43 копеек долга и 2 007 205 рублей 14 копеек пени. Решением Арбитражного суда города Москвы от 18.08.2020, оставленным без изменения постановлением Девятого арбитражного апелляционного суда от 20.11.2020 и постановлением Арбитражного суда Московского округа от 10.02.2021, требования удовлетворены в полном объеме. В кассационной жалобе, поданной в Верховный Суд Российской Федерации, заявитель просит отменить состоявшиеся судебные акты в части взыскания пени, ссылаясь на существенное нарушение судами норм материального и процессуального права. В обоснование доводов жалобы заявитель настаивает на чрезмерности взысканной неустойки, отмечая, что просрочка в платежах была вызвана объективными обстоятельствами, в частности, распространением новой коронавирусной инфекции. 2 Как следует из обжалуемых актов, 08.06.2016 сторонами заключен договор купли-продажи недвижимости (нежилого помещения) № 59-3395. В соответствии с пунктом 3.1 цена объектов составляет 29 074 661 рубль. Оплата по договору осуществляется в рассрочку в течение пяти лет со дня заключения (пункт 3.2 договора). На сумму денежных средств, составляющих цену объектов, при просрочке платежа подлежат начислению проценты, равные одной трети ставки рефинансирования Центрального банка Российской Федерации (пункт 3.3 договора). В связи с ненадлежащим исполнением обязательств по договору, истец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309, 310, 330, 333, 454, 486, 489 Гражданского кодекса Российской Федерации, суды удовлетворили заявленные требования, признав верным предоставленный Департаментом расчет долга и пени, отметив отсутствие правовых оснований для снижения заявленной к взысканию суммы неустойки. Доводы кассационной жалобы, которые были предметом рассмотрения суда округа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«Компания «ЭКОМЕКС»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