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охранное агентство «Кировское охранное предприятие-7» (далее – Общество) обратилось в Арбитражный суд Кировской области с заявлением к акционерному обществу «Котельничское хлебоприемное предприятие» (далее – Предприятие) о взыскании 51 965 рублей 16 копеек судебных расходов. Определением Арбитражного суда Кировской области от 02.09.2020 (с учетом определения от 08.09.2020 об исправлении опечатки), оставленным без изменения постановлением Второго арбитражного апелляционного суда от 30.11.2020 (с учетом определения от 14.12.2020 об исправлении опечатки) и постановлением Арбитражного суда Волго-Вятского округа от 10.03.2021, заявление удовлетворено частично: с Предприятия в пользу Общества взыскано 39 705 рублей 10 копеек судебных расходов; в остальной части заявленного требования отказано.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требований, ссылаясь на существенное нарушение судами норм материального и процессуального права. 2 В обоснование доводов жалобы заявитель указывает, что суд необоснованно и произвольно снизил размер присужденных к взысканию расходов.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частично удовлетворили требования, приняв во внимание заявленный к взысканию размер названных расходов с учетом соблюдения принципов обоснованности, объективной необходимости, оправданности, а также разумности.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охранное агентство «Кировское охранное предприятие-7»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