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24.12.2018 иск удовлетворен. Постановлением Девятого арбитражного апелляционного суда от 27.11.2020, оставленным без изменения постановлением Арбитражного суда Московского округа от 09.03.2021, решение отменено по безусловному основанию, исковые требования удовлетворены. В кассационной жалобе предприниматель просит о пересмотре судебных актов апелляционного и окружного судов, ссылаясь на ненадлежащую оценку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спорная сумма причитается истцу на основании договора на оказание агентских услуг от 21.09.2015 № 622402164467, поэтому удовлетворили в соответствии со статьями 974, 1005, 1008, 1011 Гражданского кодекса Российской Федерации. Вопросы доказывания и оценки доказательств, на которых основаны доводы жалобы, не отвечают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Кравцову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