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21.07.2020, оставленным без изменения постановлением Девятого арбитражного апелляционного суда от 22.10.2020, взыскано 6 400 000 рублей штрафа, 1 638 817 рублей 54 копейки расходов на оплату тарифа за порожний пробег вагонов и 5 705 000 рублей упущенной выгоды. Арбитражный суд Московского округа постановлением от 12.02.2021 решение от 21.07.2020 и постановление Девятого арбитражного апелляционного суда от 22.10.2020 оставил без изменения. В кассационной жалобе публичное акционерное общество «Первая Грузовая Компания» просит об отмене судебных актов, ссылаясь на отсутствие законных условий для взыскания упущенной выгоды.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необходимые в силу статей 15, 393 Гражданского кодекса Российской Федерации условия для взыскания убытков, установлены судами и их пересмотр не попадает под основания для изменения или отмены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«Первая Грузовая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