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казенное учреждение «Управление вневедомственной охраны войск Национальной гвардии Российской Федерации по Свердловской области» в лице филиала - Качканарского отдела вневедомственной охраны (далее – Учреждение) обратилось в Арбитражный суд Свердловской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Охранное предприятие «Рыцарь» о взыскании 21 578 рублей 98 копеек долга и 1873 рублей 68 копеек пени, начисленных за период с 16.05.2018 по 18.12.2018.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Информационно-технический центр негосударственных структур безопасности «Рыцарь-Центр». Решением Арбитражного суда Свердловской области от 07.07.2020, оставленным без изменения постановлением Семнадцатого арбитражного 2 апелляционного суда от 08.10.2020 и постановлением Арбитражного суда Уральского округа от 04.02.2021,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спора. В обоснование доводов жалобы заявитель указывает, что КХО оборудована только одним рубежом охранной сигнализации (письмо Качканарского ОВО от 21.10.2019 № 62912-561. В соответствии с частью 1 статьи 291.1, частью 7 статьи 291.6 и статьей 291.11,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сторонами заключен договор от 01.01.2018 № 62 на оказание охранных услуг с помощью пульта централизованного наблюдения, с ежемесячной оплатой услуг истца в размере 21 527 рублей 70 копеек, в том числе 1 рубеж - охранная и тревожная сигнализация со стоимостью 11 329 рублей 60 копеек в месяц, 2 рубеж - охранная сигнализация со стоимостью 10 198 рублей 10 копеек в месяц. Акты оказанных услуг были подписаны ответчиком с возражениями по объему с представлением соответствующего контррасчета. Учреждение направило Обществу претензию от 01.10.2018 № 52 с требованием об уплате задолженности, неисполнение которой в полном объеме послужило основанием для обращения истца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424, 429.4, 431, 709, 720, 753 Гражданского кодекса Российской Федерации, разъяснениями, изложенными в пункте 33 постановления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договоров», суды удовлетворили заявленные требования, признав доказанным наличие у Общества задолженности перед Учреждением за оказанные услуги, отметив, что изначально в период действия договора ответчик не оспаривал наличие двух рубежей охраны.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3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Охранное предприятие «Рыцарь»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