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20.07.2020, оставленным без изменения постановлением Одиннадцатого арбитражного апелляционного суда от 06.10.2020 и постановлением Арбитражного суда Поволжского округа от 02.02.2021,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(исполнитель) мотивированы тем, что компания (заказчик) не исполнила обязательства по оплате работ, выполненных в рамках договора от 04.07.2017 № СТЛ.1540 на выполнение профилактических работ (далее – договор). Исследовав и оценив доказательства по делу в соответствии со статьей 71 Арбитражного процессуального кодекса Российской Федерации, установив, что общество не представило доказательств выполнения работ по профилактической обработке оборудования, предусмотренного договором, как и доказательств внесения сторонами в предусмотренном порядке изменений в предмет договора, признав в связи с этим обоснованным отказ компании от подписания акта выполненных работ, отметив, что указанные в названном акте работы не имеют для компании потребительской ценности, руководствуясь статьями 309, 310, 711, 720, 753, 783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требований. Суд округа признал выводы судов первой и апелляционной инстанций законными и обоснованными.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«Система форсирования энерго-ресурсосберегающие активы»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