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23.09.2020, оставленным без изменения постановлением Девятого арбитражного апелляционного суда от 24.12.2020, с общества «СОГАЗ» взыскано 400 000 рублей страхового возмещения, с института – 2 116 565 рублей 89 копеек убытков. Арбитражный суд Московского округа постановлением от 18.03.2021 решение от 23.09.2020 и постановление Девятого арбитражного апелляционного суда от 24.12.2020 оставил без изменения. В кассационной жалобе институт просит об отмене судебных актов вследствие недоказанности наличия у истца права на произведенную страховую выплату и злоупотребления им правом при предъявлении требования.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оценки представленных доказательств установили наличие у лица, которому истец возместил убытки, права собственности на поврежденное имущество, страхование которого отвечает требованиям статьи 930 Гражданского кодекса Российской Федерации. Связанные с размером убытков доводы не создают обстоятельств, попадающих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военному образовательному учреждению высшего образования «Саратовский военный ордена Жукова Краснознаменный институт войск национальной гвардии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