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14.09.2020, оставленным без изменения постановлением Девятого арбитражного апелляционного суда от 23.12.2020 иск удовлетворен. Арбитражный суд Московского округа постановлением от 30.03.2021 решение от 14.09.2020 и постановление Девятого арбитражного апелляционного суда от 23.12.2020 оставил без изменения. Банк в кассационной жалобе просит о пересмотре судебных актов, ссылаясь на противоречие их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оценили возражения банка в отношении ненадлежащего заверения приложенных к требованию о платеже документов как нарушения условий гарантии и признали их не создающими установленных статьей 376 Гражданского кодекса Российской Федерации оснований для отказа в платеже. Противоречия выводов судов судебной практике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