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«Смарт ИТС» обратилось в Арбитражный суд города Москвы с иском к обществу с ограниченной ответственностью «НТЦ «Измеритель» о признании права на снижение неустойки по мировому соглашению от 21.08.2018 б/н до суммы 53 335 рублей 34 копейки. Решением Арбитражного суда города Москвы от 28.08.2020 в удовлетворении иска отказано. Постановлением Девятого арбитражного апелляционного суда от 04.12.2020 решение суда первой инстанции оставлено без изменения. Арбитражный суд Московского округа постановлением от 11.02.2021 указанные судебные акты оставил без изменения. Общество с ограниченной ответственностью «Смарт ИТС»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фактически волеизъявление истца направлено на снижение на основании статьи 333 Гражданского кодекса Российской Федерации размера неустойки, установленного условиями мирового соглашения, утвержденного судом в рамках дела № А40-114560/2018, руководствуясь положениями статей 16, 139, 141, 150 Арбитражного процессуального кодекса Российской Федерации, суды пришли к выводу о том, что удовлетворение рассматриваемого иска приведет к созданию недопустимой ситуации конкуренции судебных актов, что приведет к нарушению принципа правовой определенности.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«Смарт ИТС»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