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«Серпуховское Лесотопливное Предприятие» (на основании договора уступки прав требования) обратилось в Арбитражный Московской области с иском о взыскании с ФИО1 7 081 800 рублей процентов за пользование займом по договору от 18.08.2016. Судом принят встречный иск ФИО1 к обществу с ограниченной ответственностью «Серпуховское Лесотопливное Предприятие» о признании договора уступки прав требования от 21.11.2018 ничтожным. Решением Арбитражного суда Московской области от 14.08.2020 первоначальный иск удовлетворен, в удовлетворении встречного иска отказано. Постановлением Десятого арбитражного апелляционного суда от 16.11.2020 решение суда первой инстанции оставлено без изменения. Арбитражный суд Московского округа постановлением от 20.02.2021 указанные судебные акты оставил без изменения. ФИО1 обратилась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 67 , 68 , 71 Арбитражного процессуального кодекса Российской Федерации, руководствуясь положениями статей 199 , 309 , 310 , 319 , 382 , 384 , 807 , 810 Гражданского кодекса Российской Федерации, установив отсутствие доказательств своевременного возврата ответчиком (заемщиком) суммы займа, наличие у ответчика задолженности по оплате процентов за пользование займом по спорному договору и обоснованность начисления процентов за пользование суммой займа, суды пришли к выводу о наличии оснований для удовлетворения первоначального иска. Отказывая в удовлетворении встречного иска, суды, руководствуясь статьей 166 Гражданского кодекса Российской Федерации,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сделали вывод о недоказанности и необоснованности доводов истца о ничтожности заключенного договора уступки прав. Доводы, изложенные в кассационной жалобе, о пропуске срока исковой давности, отсутствии задолженности по договору займа и нарушении порядка ее погашения приводились при рассмотрении дела, были рассмотрены судами и мотивированно отклонены.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основаны на неверном толковании заявителем норм материального права,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Довод заявителя о нарушении правил подсудности при рассмотрении настоящего дела обоснованно отклонен судами со ссылкой на часть 6 статьи 39 Арбитражного процессуального кодекса Российской Федерации о недопустимости споров между судами о подсудности дел.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"СЕРПУХОВСКОЕ ЛЕСОТОПЛИВНОЕ ПРЕДПРИЯТИЕ"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