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грузовая компания» обратилось в Арбитражный суд города Москвы с иском о взыскании с общества с ограниченной ответственностью «БалтТрансСервис» 183 953 рублей 22 копеек в возмещение убытков. Решением Арбитражного суда города Москвы от 11.09.2020 иск удовлетворен. Постановлением Девятого арбитражного апелляционного суда от 14.12.2020 решение суда первой инстанции оставлено без изменения. Арбитражный суд Московского округа постановлением от 25.03.2021 указанные судебные акты оставил без изменения. Общество с ограниченной ответственностью «БалтТрансСервис»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грузополучателями ответчика после выгрузки (слива) мазута на станциях назначения не осуществлена обязательная промывка/пропарка вагонов-цистерн, руководствуясь положениями статей 15, 393, 401 Гражданского кодекса Российской Федерации, Правилами очистки и промывки вагонов и контейнеров после выгрузки грузов, утвержденными приказом Минтранса России от 10.04.2013 № 119, Правилами перевозок железнодорожным транспортом грузов наливом в вагонах-цистернах и вагонах бункерного типа для перевозки нефтебитума, утвержденными приказом Министерства путей сообщения Российской Федерации от 18.06.2003 № 25, суды пришли к выводу о доказанности наличия совокупности обстоятельств, необходимых для применения к ответчику меры ответственности в виде взыскания убытков, связанных с затратами истца на подготовку вагонов- цистерн под новую погрузку.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«БалтТрансСервис»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